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56" w:rsidRDefault="00876F56" w:rsidP="00876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–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«Сказка» с. Первомайское </w:t>
      </w:r>
    </w:p>
    <w:p w:rsidR="00876F56" w:rsidRDefault="00876F56" w:rsidP="00876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F56" w:rsidRDefault="00876F56" w:rsidP="00876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F56" w:rsidRDefault="00876F56" w:rsidP="00876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F56" w:rsidRDefault="00876F56" w:rsidP="00876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F56" w:rsidRDefault="00876F56" w:rsidP="00876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F56" w:rsidRDefault="00876F56" w:rsidP="00876F5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Консультация для воспитателей </w:t>
      </w:r>
    </w:p>
    <w:p w:rsidR="00876F56" w:rsidRDefault="00876F56" w:rsidP="00876F5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876F56">
        <w:rPr>
          <w:rFonts w:ascii="Times New Roman" w:hAnsi="Times New Roman" w:cs="Times New Roman"/>
          <w:sz w:val="40"/>
          <w:szCs w:val="40"/>
        </w:rPr>
        <w:t>Новый взгляд на игровые методы и приемы в работе с детьми дошкольного возраста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876F56" w:rsidRDefault="00876F56" w:rsidP="00876F5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76F56" w:rsidRDefault="00876F56" w:rsidP="00876F5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76F56" w:rsidRDefault="00876F56" w:rsidP="00876F5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876F56" w:rsidRDefault="00876F56" w:rsidP="00876F5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старший воспитатель</w:t>
      </w:r>
    </w:p>
    <w:p w:rsidR="00876F56" w:rsidRDefault="00876F56" w:rsidP="00876F5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Молчанова О.Н.</w:t>
      </w:r>
    </w:p>
    <w:p w:rsidR="00876F56" w:rsidRDefault="00876F56" w:rsidP="00876F5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6F56" w:rsidRDefault="00876F56" w:rsidP="00876F5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6F56" w:rsidRDefault="00876F56" w:rsidP="00876F5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6F56" w:rsidRDefault="00876F56" w:rsidP="00876F5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6F56" w:rsidRDefault="00876F56" w:rsidP="00876F5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6F56" w:rsidRDefault="00876F56" w:rsidP="00876F5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6F56" w:rsidRDefault="00876F56" w:rsidP="00876F5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6F56" w:rsidRDefault="00876F56" w:rsidP="00876F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6F56" w:rsidRDefault="00876F56" w:rsidP="00876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Первомайское 2015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E3749" w:rsidRPr="00E0621F" w:rsidRDefault="007E3749" w:rsidP="007E374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bookmarkStart w:id="0" w:name="_GoBack"/>
      <w:bookmarkEnd w:id="0"/>
      <w:r w:rsidRPr="00E0621F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lastRenderedPageBreak/>
        <w:t>Новый взгляд на игровые методы и приемы в работе с детьми дошкольного возраста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нашей стране происходят существенные изменения в образовании. Целью модернизации дошкольного образования является воспитание успешной личности, самостоятельной, здоровой, активной, умеющей креативно мыслить.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направлений политики развития ДОУ является формирование новой системы взаимодействия участников образовательного пространства, включающего специалистов ДОУ, родителей и детей. Несомненно, такое направление политики требует существенных изменений в построении образовательного процесса и профессиональной деятельности педагога.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Федера</w:t>
      </w:r>
      <w:r w:rsid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государственных стандартов </w:t>
      </w: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структуре основной общеобразовательной программы дошкольного образования</w:t>
      </w:r>
      <w:r w:rsid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внесло в действующую структуру планирования значительные изменения, а именно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696461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Общеизвестно, что развивать детей дошкольного возраста, надо играя.</w:t>
      </w:r>
      <w:r w:rsidR="00696461" w:rsidRPr="00696461">
        <w:rPr>
          <w:rFonts w:ascii="PT Sans" w:eastAsia="Times New Roman" w:hAnsi="PT Sans"/>
          <w:b/>
          <w:sz w:val="28"/>
          <w:szCs w:val="28"/>
          <w:lang w:eastAsia="ru-RU"/>
        </w:rPr>
        <w:t xml:space="preserve"> </w:t>
      </w:r>
      <w:r w:rsidR="00696461">
        <w:rPr>
          <w:rFonts w:ascii="PT Sans" w:eastAsia="Times New Roman" w:hAnsi="PT Sans"/>
          <w:b/>
          <w:sz w:val="28"/>
          <w:szCs w:val="28"/>
          <w:lang w:eastAsia="ru-RU"/>
        </w:rPr>
        <w:t>Игра является не только развлечением для ребенка, но и основным способом познания мира, а значит, именно с помощью нее малыш развивается, приобретает знания и всевозможные навыки. Безусловно, по этой причине все методики обучения детей должны быть построены на принципе игры</w:t>
      </w:r>
    </w:p>
    <w:p w:rsidR="00696461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- это прием организации деятельности детей в совместной деятельности или набор приемов, выстроенных как в логике изучения программного материала, так и в логике организации заинтересованной познавательной деятельности дошкольников. Поэтому перед воспитателями стоит задача максимально использовать игровые методы и приемы. </w:t>
      </w:r>
    </w:p>
    <w:p w:rsidR="006755AE" w:rsidRDefault="007E3749" w:rsidP="006964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</w:t>
      </w: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116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 система последовательных взаимосвязанных способов работы педагога и детей, которые направлены на достижение дидактических задач.</w:t>
      </w: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461" w:rsidRDefault="00696461" w:rsidP="006964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 игровых методо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 процессе обучения заключает</w:t>
      </w: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том, что они вызывают у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повышенный интерес, положи</w:t>
      </w: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эмоции, помогают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лировать внимание на учебной за</w:t>
      </w: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даче, которая становится не навязанной, а желанной, личной целью. При этом решение учебной задачи в процессе игры сопряжено с меньшими затратами нервной энергии и минимальными волевыми усилиями ребенка.</w:t>
      </w:r>
    </w:p>
    <w:p w:rsidR="00096ADF" w:rsidRPr="00696461" w:rsidRDefault="00096ADF" w:rsidP="006964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Игровая форма обучения не является сама по себе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ой. Лозунги типа: «Учи – играя»</w:t>
      </w:r>
      <w:r w:rsidRPr="0009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кажутся понятными и очевидными.  Однако на практике дело обстоит совсем иначе. Зачастую воспитатели вводят в «скучные уроки» для дошкольников детские игрушки, отдельные игровые ситуации, считая, что они тем самым, используют игру в качестве формы организации занятий. Например, приходит какой-либо персонаж и начинает детям что-нибудь объяснять, просить о чём-либо. Однако ни персонаж, ни педагог, озвучивающий игрушку, не способны сами по себе превратить занятие в игру. Они как были, так и остаются занятиями – «уроками», строго регламентированными взрослыми, где ребёнок лишь пассивный исполнитель заданий, которые предлагает педагог. Обучение детей игре фактически сводится к применению в работе с ними игровых приёмов «обыгрывания» учебного материала. Подобные «игровые моменты» на занятиях чреваты тем, что не получается ни игры, ни обучения.</w:t>
      </w:r>
    </w:p>
    <w:p w:rsidR="00696461" w:rsidRPr="00996BFF" w:rsidRDefault="00696461" w:rsidP="006964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996BF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Игровые методы характеризуются рядом признаков. Прежде всего, они </w:t>
      </w:r>
      <w:r w:rsidRPr="00996BFF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переносят учебное дейст</w:t>
      </w:r>
      <w:r w:rsidR="006755AE" w:rsidRPr="00996BFF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вие в условный план</w:t>
      </w:r>
      <w:r w:rsidR="006755AE" w:rsidRPr="00996BF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, который за</w:t>
      </w:r>
      <w:r w:rsidRPr="00996BF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дается соответствующей </w:t>
      </w:r>
      <w:r w:rsidRPr="00996BFF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системой правил или сценарием</w:t>
      </w:r>
      <w:r w:rsidRPr="00996BF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. От ребенка требуется полное </w:t>
      </w:r>
      <w:r w:rsidRPr="00996BFF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вхождение в игровую ситуацию</w:t>
      </w:r>
      <w:r w:rsidRPr="00996BF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, а </w:t>
      </w:r>
      <w:r w:rsidRPr="00996BFF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от педагога отказ от прямого обучающего воздействия,</w:t>
      </w:r>
      <w:r w:rsidRPr="00996BF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замечаний, порицаний и т.д.</w:t>
      </w:r>
    </w:p>
    <w:p w:rsidR="00ED25D3" w:rsidRPr="00ED25D3" w:rsidRDefault="00696461" w:rsidP="00ED25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игрового метода</w:t>
      </w:r>
      <w:r w:rsidR="0067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используется </w:t>
      </w:r>
      <w:r w:rsidR="006755AE" w:rsidRPr="00996BFF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воображае</w:t>
      </w:r>
      <w:r w:rsidRPr="00996BFF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мая ситуация</w:t>
      </w:r>
      <w:r w:rsidRPr="00996BF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развернутом плане: с ролями, игровыми действиями и соответствующим игровым обор</w:t>
      </w:r>
      <w:r w:rsidR="00675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удованием. Однако среди многооб</w:t>
      </w: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разия игровых методов наиболее </w:t>
      </w:r>
      <w:r w:rsidR="0067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распространенным является </w:t>
      </w:r>
      <w:r w:rsidR="006755AE" w:rsidRPr="00996BFF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дидак</w:t>
      </w:r>
      <w:r w:rsidRPr="00996BFF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тическая игра</w:t>
      </w:r>
      <w:r w:rsidRPr="00996BF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</w:t>
      </w: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в процессе учебной деятельности присущи две функции: первая — совершенствование и закрепление знаний в непринужденной для ребенка игровой ситуации; вторая — усвоение новых знаний и умений разного содержания.</w:t>
      </w:r>
      <w:r w:rsidR="00ED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25D3" w:rsidRPr="00ED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метод обучения дидактическая игра может использоваться при фронтальных, групповых, индивидуальных формах специально организованного обучения. </w:t>
      </w:r>
    </w:p>
    <w:p w:rsidR="00696461" w:rsidRPr="00696461" w:rsidRDefault="00ED25D3" w:rsidP="00ED25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Занятия, состоящие из дидактических игр, могут носить тематический и сюжетный характер. На тематических занятиях на протяжении всего специально организованного обучения принимают участие какие-либо персонажи: Незнайка,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Буратино и др.</w:t>
      </w:r>
      <w:r w:rsidR="0099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6BFF" w:rsidRPr="00996B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Интересной формой занятий, состоящих из дидактических игр, являются сюжетные занятия, например, путешествия.</w:t>
      </w:r>
    </w:p>
    <w:p w:rsidR="00696461" w:rsidRPr="00696461" w:rsidRDefault="00696461" w:rsidP="006964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реальном же процессе обучения все методы используются только в совокупности, в различных комбинациях друг с другом, а не изолированно.</w:t>
      </w:r>
    </w:p>
    <w:p w:rsidR="00696461" w:rsidRPr="00696461" w:rsidRDefault="00696461" w:rsidP="006964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метод состоит из определенных приемов обучения, которые в отличие от метода направлены на решение более узкой учебной задачи. Сочетание ряда при</w:t>
      </w:r>
      <w:r w:rsidR="006755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емов и образует тот или иной ме</w:t>
      </w: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 обучения. Чем разнообразнее п</w:t>
      </w:r>
      <w:r w:rsidR="00675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риемы, тем содержательнее и дей</w:t>
      </w: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ственнее метод, в который </w:t>
      </w: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входят. Например, к беседе как методу можно отнести следующие распространенные приемы</w:t>
      </w:r>
      <w:r w:rsidR="006755A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вопросы к де</w:t>
      </w: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тям, пояснение к какому-либо зад</w:t>
      </w:r>
      <w:r w:rsidR="0067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анию, рассказывание самими деть</w:t>
      </w: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музыкальное сопровождение беседы с иллюстрацией творческих работ детей (рисунки, аппликация, поделки и т.д.), прослушивания фрагментов из знакомых детям литературных произве</w:t>
      </w:r>
      <w:r w:rsidR="00675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 по кон</w:t>
      </w: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кретной теме и др.</w:t>
      </w:r>
    </w:p>
    <w:p w:rsidR="00696461" w:rsidRDefault="00696461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одни и те же п</w:t>
      </w:r>
      <w:r w:rsidR="00675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риемы могут входить в разные ме</w:t>
      </w: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тоды обучения. Например, приемы </w:t>
      </w:r>
      <w:r w:rsidR="006755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запоминания, использования зага</w:t>
      </w:r>
      <w:r w:rsidRPr="006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док, показа действий, вопросов входят в состав метода наблюдения, беседы, упражнения, экспериментирования и др.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353B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5460"/>
      </w:tblGrid>
      <w:tr w:rsidR="00102932" w:rsidRPr="000B4425" w:rsidTr="003F5DB5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2932" w:rsidRPr="009A5C76" w:rsidRDefault="00102932" w:rsidP="003F5DB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9A5C76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Игровые методы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2932" w:rsidRPr="009A5C76" w:rsidRDefault="00102932" w:rsidP="003F5DB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9A5C76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Игровые приёмы</w:t>
            </w:r>
          </w:p>
        </w:tc>
      </w:tr>
      <w:tr w:rsidR="00102932" w:rsidRPr="000B4425" w:rsidTr="003F5DB5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2932" w:rsidRPr="009A5C76" w:rsidRDefault="00102932" w:rsidP="003F5DB5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9A5C76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воображаемая ситуация,</w:t>
            </w:r>
          </w:p>
          <w:p w:rsidR="00102932" w:rsidRPr="009A5C76" w:rsidRDefault="00102932" w:rsidP="003F5DB5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9A5C76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дидактическая игра</w:t>
            </w:r>
          </w:p>
          <w:p w:rsidR="00102932" w:rsidRPr="009A5C76" w:rsidRDefault="00102932" w:rsidP="003F5D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9A5C76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2932" w:rsidRPr="009A5C76" w:rsidRDefault="00102932" w:rsidP="003F5DB5">
            <w:pPr>
              <w:numPr>
                <w:ilvl w:val="0"/>
                <w:numId w:val="2"/>
              </w:numPr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9A5C76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внезапное появление объектов, игрушек,</w:t>
            </w:r>
          </w:p>
          <w:p w:rsidR="00102932" w:rsidRPr="009A5C76" w:rsidRDefault="00102932" w:rsidP="003F5DB5">
            <w:pPr>
              <w:numPr>
                <w:ilvl w:val="0"/>
                <w:numId w:val="2"/>
              </w:numPr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9A5C76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выполнение воспитателем различных игровых действий,</w:t>
            </w:r>
          </w:p>
          <w:p w:rsidR="00102932" w:rsidRPr="009A5C76" w:rsidRDefault="00102932" w:rsidP="003F5DB5">
            <w:pPr>
              <w:numPr>
                <w:ilvl w:val="0"/>
                <w:numId w:val="2"/>
              </w:numPr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9A5C76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загадывание загадок,</w:t>
            </w:r>
          </w:p>
          <w:p w:rsidR="00102932" w:rsidRPr="009A5C76" w:rsidRDefault="00102932" w:rsidP="003F5DB5">
            <w:pPr>
              <w:numPr>
                <w:ilvl w:val="0"/>
                <w:numId w:val="2"/>
              </w:numPr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9A5C76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введение элементов соревнований,</w:t>
            </w:r>
          </w:p>
          <w:p w:rsidR="00102932" w:rsidRPr="009A5C76" w:rsidRDefault="00102932" w:rsidP="003F5DB5">
            <w:pPr>
              <w:numPr>
                <w:ilvl w:val="0"/>
                <w:numId w:val="2"/>
              </w:numPr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9A5C76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создание игровой ситуации</w:t>
            </w:r>
          </w:p>
        </w:tc>
      </w:tr>
    </w:tbl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скажите, что воспитатели всегда используют игровые методы и приемы, но, к сожалению, многие из них не всегда эффективны. В одних случаях созданная педагогом игровая ситуация не увлекает детей, не доставляет им, подобно свободной игре, радости и не развивает их. В других – игровые методы и приемы не способствуют эффективному овладению умениями и навыками, ради которых они, собственно, и используются.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конкретный пример. Воспитатели часто прибегают к такому игровому приему, как приход в гости того или иного игрового персонажа. Педагог изображает стук в дверь, открыв ее, объявляет детям, что к ним кто – то пришел. Возрастной диапазон использования этого игрового приема от 2 до 7 лет. Но если малыши 2 – 4 лет с неподдельным, искренним интересом относятся к приходу игрушки, то у детей 5 – 7 лет такой прием может вызвать плохо скрываемую насмешку.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ошибка в использовании игровых методов и приемов в работе воспитателей – беспорядочность в их использовании и несоответствие игровых методов способам построения сюжетно-ролевой игры на разных возрастных этапах дошкольного детства.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исследованиям, проведенным Н. Я. Михайленко и Н. А. Коротковой, с 2 до 7 лет дети постепенно овладевают тремя способами построения сюжетно – ролевой игры: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1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Предметно-действенный</w:t>
      </w: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– на этапе раннего и </w:t>
      </w:r>
      <w:r w:rsidR="00EB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дошкольного возраста; 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81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Ролевый способ</w:t>
      </w: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среднем дошкольном возрасте;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Сюжетосложение</w:t>
      </w:r>
      <w:proofErr w:type="spellEnd"/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условно можно отнести к старшему дошкольному возрасту.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принцип отбора игровых методов и приемов – это соответствие способам построения сюжетно-ролевой игры детей данного возраста.</w:t>
      </w:r>
    </w:p>
    <w:p w:rsidR="007E3749" w:rsidRPr="00E638CE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Младший дошкольный возраста (3 – 4 года)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одушевление игрового персонажа, который в НОД будет выступать в качестве партнера ребенка при выполнении задания и в последующей игре.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чтобы привлечь внимание маленьких детей к приемам работы с краской, используется одушевление изобразительных материалов: кисти, которыми рисуют дети, превращаются в девочек – кисточек.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различных сюжетов для побуждения детей к более сложным способам построения игры по окончанию НОД, переходу от условных предметных действий к ролевому поведению.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 моменту окончания НОД (дети рисовали травку для зайчат</w:t>
      </w:r>
      <w:r w:rsidR="00EB3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по телефону говорит</w:t>
      </w: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мамой – зайчихой, которая просит детей подогреть молоко и напоить зайчат и поиграть с ними.</w:t>
      </w:r>
      <w:proofErr w:type="gramEnd"/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осуществление «превращения» одних предметов в другие, пользоваться предметами-заместителями и многое другое.</w:t>
      </w:r>
    </w:p>
    <w:p w:rsidR="007E3749" w:rsidRPr="00E638CE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дошкольный возраст (4 – 5 лет)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принятие нужной роли и действовать в этой роли.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заинтересовать детей ролями и обеспечить их действия содержанием, которое способствовало бы вхождению в роль.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воспитатель берет на себя роль мамы – зайчихи. Спрашивает, кем бы хотели быть дети. Затем организует работу по принятию детьми роли зайчат (попрыгать, поесть морковку). Затем ставит игровую задачу: мама – зайчиха, опасаясь за жизнь зайчат, предлагает им сделать щиты и изображение деревьев, за которыми они могли бы спрятаться от волка, а потом учебную: «я научу вас делать щиты и рисовать деревья».</w:t>
      </w:r>
    </w:p>
    <w:p w:rsidR="007E3749" w:rsidRPr="00E638CE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дошкольный возраст (5 – 7 лет)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отбирать яркие и выразительные образы, способствующие развитию у детей внутреннего сопереживания героям и желания оказать им практическую помощь.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представлять сюжет, используя ролевое поведение и привлекая все возможные средства для беспредметного игрового действия – мимику, изобразительные действия, интонации и т. п.</w:t>
      </w:r>
    </w:p>
    <w:p w:rsidR="007E3749" w:rsidRPr="0081162D" w:rsidRDefault="00E638CE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3749"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воспитатель берет в руки лист белой бумаги, показывает его детям и читает стихотворение В. А. Приходько «Белый город»: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город –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город.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 белым полотном.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белый город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Околдован</w:t>
      </w:r>
      <w:proofErr w:type="gramEnd"/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колдуном…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расколдовывают город.</w:t>
      </w:r>
    </w:p>
    <w:p w:rsidR="007E3749" w:rsidRPr="0081162D" w:rsidRDefault="00E638CE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3749"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«Рисование машины» (рисование с натуры).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рассказывает детям, что в лесу пропала машина с подарками для лесных жителей, а найти ее не могут. Им нужно развесить по лесу картинки с точной копией пропавшей машины. Воспитатель просит детей помочь лесным жителям и нарисовать картинки машины.</w:t>
      </w:r>
    </w:p>
    <w:p w:rsidR="007E3749" w:rsidRPr="00ED25D3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часто встречаемые игровые методы и приемы: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Приход или встреча сказочного героя (Незнайка, </w:t>
      </w:r>
      <w:proofErr w:type="spellStart"/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лесной житель, мультипликационного героя).</w:t>
      </w:r>
      <w:r w:rsidR="00ED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D3" w:rsidRPr="00ED2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внезапного появления объектов, игрушек своей неожиданностью, необычностью вызывает острое чувство удивления, вызывает эмоциональное реагирование, является залогом познания окружающего мира. Используется данный приём чаще всего в младших группах.</w:t>
      </w:r>
    </w:p>
    <w:p w:rsidR="007E3749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отправляются в путешествие, на прогулку, в сказку, в гости и др.</w:t>
      </w:r>
    </w:p>
    <w:p w:rsidR="00ED25D3" w:rsidRPr="0081162D" w:rsidRDefault="00ED25D3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занятия могут отражать реальные факты или события. Происходящие действия понятны и интересны ребёнку. Выполнение предлагаемых заданий радует и удивляет детей, придаёт познавательному содержанию необычный, игровой характер. В ходе таких занятий дети принимают активное участие в развитии сюжета, обогащении игровых действий, стремятся овладеть правилами и получить результат: решить задачу, что-то узнать, чему-то научиться.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Получение письма с просьбой о помощи, посылки и т. п.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сюжету сказки (чтение литературного произведения и решение образовательных задач) 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Внесение волшебного предмета (клубочек ниток, ящик, волшебная палочка) .</w:t>
      </w:r>
    </w:p>
    <w:p w:rsidR="007E3749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Использование загадки, чтение стихотворения, рассказ сказочной истории и др.</w:t>
      </w:r>
      <w:r w:rsidR="009A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5D3" w:rsidRDefault="00ED25D3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D25D3">
        <w:t xml:space="preserve"> </w:t>
      </w:r>
      <w:r>
        <w:t xml:space="preserve"> </w:t>
      </w:r>
      <w:r w:rsidRPr="00ED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приёму выполнения воспитателем различных игровых действий можно отнести: подбор картинок, складывание, </w:t>
      </w:r>
      <w:proofErr w:type="spellStart"/>
      <w:r w:rsidRPr="00ED2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передвигание</w:t>
      </w:r>
      <w:proofErr w:type="spellEnd"/>
      <w:r w:rsidRPr="00ED25D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имитацию движений. Игровые действия могут состоять из ряда отдельных действий или элементов. Они должны обязательно сопровождаться речью. Данный приём используется, в том случае, если воспитатель является непосредственным партнёром ребёнка в игре.</w:t>
      </w:r>
    </w:p>
    <w:p w:rsidR="009A5C76" w:rsidRDefault="00ED25D3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A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2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занятия приёма соревнования в старших группах подготавливает детей к правильной оценке своих возможностей и достижений, делает игру увлекательной, занимательной и интересной для ребёнка. Отсутствие в занятии приёма соревнования превращает игру в упражнение.</w:t>
      </w:r>
    </w:p>
    <w:p w:rsidR="00ED25D3" w:rsidRPr="0081162D" w:rsidRDefault="00ED25D3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игровых методов и приёмов обучения зависит, прежде всего, от цели обучения и содержания занятия, а также от возраста детей. Педагогу следует помнить о том, что игровые методы и приёмы не должны превращать занятие в развлечение.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spellStart"/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педагогических исследований было установлено, что потребность в игровой мотивации сохраняется и в старшем дошкольном возрасте. Дети пяти лет вначале принимают учебные задания только в том случае, если полученные знания могут сразу использовать в игре, рисовании или другой деятельности.</w:t>
      </w:r>
    </w:p>
    <w:p w:rsidR="007E3749" w:rsidRPr="0081162D" w:rsidRDefault="007E3749" w:rsidP="007E37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хотелось бы еще раз подчеркнуть: игра имеет колоссальный развивающий потенциал при условии, если останется самостоятельной деятельностью детей. В игре нет места педагогической директиве, но есть место для партнерства, основанного на глубоком и искреннем уважении к внутреннему миру другого, пусть и маленького, человека, заглянуть в который нам</w:t>
      </w:r>
      <w:r w:rsidR="00E638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помогает окошко с волшебным названием «Игра»…</w:t>
      </w:r>
    </w:p>
    <w:p w:rsidR="00B91604" w:rsidRDefault="00B91604">
      <w:pPr>
        <w:rPr>
          <w:rFonts w:ascii="Times New Roman" w:hAnsi="Times New Roman" w:cs="Times New Roman"/>
          <w:sz w:val="28"/>
          <w:szCs w:val="28"/>
        </w:rPr>
      </w:pPr>
    </w:p>
    <w:p w:rsidR="00996BFF" w:rsidRDefault="00996BFF">
      <w:pPr>
        <w:rPr>
          <w:rFonts w:ascii="Times New Roman" w:hAnsi="Times New Roman" w:cs="Times New Roman"/>
          <w:sz w:val="28"/>
          <w:szCs w:val="28"/>
        </w:rPr>
      </w:pPr>
    </w:p>
    <w:p w:rsidR="00996BFF" w:rsidRDefault="00996BFF">
      <w:pPr>
        <w:rPr>
          <w:rFonts w:ascii="Times New Roman" w:hAnsi="Times New Roman" w:cs="Times New Roman"/>
          <w:sz w:val="28"/>
          <w:szCs w:val="28"/>
        </w:rPr>
      </w:pPr>
    </w:p>
    <w:p w:rsidR="00996BFF" w:rsidRDefault="00996BFF">
      <w:pPr>
        <w:rPr>
          <w:rFonts w:ascii="Times New Roman" w:hAnsi="Times New Roman" w:cs="Times New Roman"/>
          <w:sz w:val="28"/>
          <w:szCs w:val="28"/>
        </w:rPr>
      </w:pPr>
    </w:p>
    <w:p w:rsidR="00996BFF" w:rsidRDefault="00996BFF">
      <w:pPr>
        <w:rPr>
          <w:rFonts w:ascii="Times New Roman" w:hAnsi="Times New Roman" w:cs="Times New Roman"/>
          <w:sz w:val="28"/>
          <w:szCs w:val="28"/>
        </w:rPr>
      </w:pPr>
    </w:p>
    <w:p w:rsidR="00996BFF" w:rsidRDefault="00996BFF">
      <w:pPr>
        <w:rPr>
          <w:rFonts w:ascii="Times New Roman" w:hAnsi="Times New Roman" w:cs="Times New Roman"/>
          <w:sz w:val="28"/>
          <w:szCs w:val="28"/>
        </w:rPr>
      </w:pPr>
    </w:p>
    <w:p w:rsidR="00250F37" w:rsidRPr="00E0621F" w:rsidRDefault="00250F37" w:rsidP="00250F3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621F">
        <w:rPr>
          <w:rFonts w:ascii="Times New Roman" w:hAnsi="Times New Roman" w:cs="Times New Roman"/>
          <w:b/>
          <w:color w:val="C00000"/>
          <w:sz w:val="72"/>
          <w:szCs w:val="72"/>
        </w:rPr>
        <w:lastRenderedPageBreak/>
        <w:t>Игровые методы и приёмы</w:t>
      </w:r>
    </w:p>
    <w:p w:rsidR="00250F37" w:rsidRPr="00250F37" w:rsidRDefault="00250F37" w:rsidP="00250F37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353B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5430"/>
      </w:tblGrid>
      <w:tr w:rsidR="00996BFF" w:rsidRPr="009A5C76" w:rsidTr="003F5DB5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6BFF" w:rsidRPr="00996BFF" w:rsidRDefault="00996BFF" w:rsidP="003F5DB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52"/>
                <w:szCs w:val="52"/>
                <w:lang w:eastAsia="ru-RU"/>
              </w:rPr>
            </w:pPr>
            <w:r w:rsidRPr="00996BF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52"/>
                <w:szCs w:val="52"/>
                <w:lang w:eastAsia="ru-RU"/>
              </w:rPr>
              <w:t>Игровые методы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6BFF" w:rsidRPr="00996BFF" w:rsidRDefault="00996BFF" w:rsidP="003F5DB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52"/>
                <w:szCs w:val="52"/>
                <w:lang w:eastAsia="ru-RU"/>
              </w:rPr>
            </w:pPr>
            <w:r w:rsidRPr="00996BF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52"/>
                <w:szCs w:val="52"/>
                <w:lang w:eastAsia="ru-RU"/>
              </w:rPr>
              <w:t>Игровые приёмы</w:t>
            </w:r>
          </w:p>
        </w:tc>
      </w:tr>
      <w:tr w:rsidR="00996BFF" w:rsidRPr="009A5C76" w:rsidTr="003F5DB5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6BFF" w:rsidRPr="00996BFF" w:rsidRDefault="00996BFF" w:rsidP="003F5DB5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</w:pPr>
            <w:r w:rsidRPr="00996BFF"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  <w:t>воображаемая ситуация,</w:t>
            </w:r>
          </w:p>
          <w:p w:rsidR="00996BFF" w:rsidRPr="00996BFF" w:rsidRDefault="00996BFF" w:rsidP="003F5DB5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</w:pPr>
            <w:r w:rsidRPr="00996BFF"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  <w:t>дидактическая игра</w:t>
            </w:r>
          </w:p>
          <w:p w:rsidR="00996BFF" w:rsidRPr="00996BFF" w:rsidRDefault="00996BFF" w:rsidP="003F5D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</w:pPr>
            <w:r w:rsidRPr="00996BFF"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6BFF" w:rsidRPr="00996BFF" w:rsidRDefault="00996BFF" w:rsidP="003F5DB5">
            <w:pPr>
              <w:numPr>
                <w:ilvl w:val="0"/>
                <w:numId w:val="2"/>
              </w:numPr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</w:pPr>
            <w:r w:rsidRPr="00996BFF"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  <w:t>внезапное появление объектов, игрушек,</w:t>
            </w:r>
          </w:p>
          <w:p w:rsidR="00996BFF" w:rsidRPr="00996BFF" w:rsidRDefault="00996BFF" w:rsidP="003F5DB5">
            <w:pPr>
              <w:numPr>
                <w:ilvl w:val="0"/>
                <w:numId w:val="2"/>
              </w:numPr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</w:pPr>
            <w:r w:rsidRPr="00996BFF"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  <w:t>выполнение воспитателем различных игровых действий,</w:t>
            </w:r>
          </w:p>
          <w:p w:rsidR="00996BFF" w:rsidRPr="00996BFF" w:rsidRDefault="00996BFF" w:rsidP="003F5DB5">
            <w:pPr>
              <w:numPr>
                <w:ilvl w:val="0"/>
                <w:numId w:val="2"/>
              </w:numPr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</w:pPr>
            <w:r w:rsidRPr="00996BFF"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  <w:t>загадывание загадок,</w:t>
            </w:r>
          </w:p>
          <w:p w:rsidR="00996BFF" w:rsidRPr="00996BFF" w:rsidRDefault="00996BFF" w:rsidP="003F5DB5">
            <w:pPr>
              <w:numPr>
                <w:ilvl w:val="0"/>
                <w:numId w:val="2"/>
              </w:numPr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</w:pPr>
            <w:r w:rsidRPr="00996BFF"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  <w:t>введение элементов соревнований,</w:t>
            </w:r>
          </w:p>
          <w:p w:rsidR="00996BFF" w:rsidRPr="00996BFF" w:rsidRDefault="00996BFF" w:rsidP="003F5DB5">
            <w:pPr>
              <w:numPr>
                <w:ilvl w:val="0"/>
                <w:numId w:val="2"/>
              </w:numPr>
              <w:spacing w:before="48" w:after="48" w:line="288" w:lineRule="atLeast"/>
              <w:ind w:left="48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</w:pPr>
            <w:r w:rsidRPr="00996BFF">
              <w:rPr>
                <w:rFonts w:ascii="Times New Roman" w:eastAsia="Times New Roman" w:hAnsi="Times New Roman" w:cs="Times New Roman"/>
                <w:color w:val="0F243E" w:themeColor="text2" w:themeShade="80"/>
                <w:sz w:val="52"/>
                <w:szCs w:val="52"/>
                <w:lang w:eastAsia="ru-RU"/>
              </w:rPr>
              <w:t>создание игровой ситуации</w:t>
            </w:r>
          </w:p>
        </w:tc>
      </w:tr>
    </w:tbl>
    <w:p w:rsidR="00996BFF" w:rsidRDefault="00996BFF">
      <w:pPr>
        <w:rPr>
          <w:rFonts w:ascii="Times New Roman" w:hAnsi="Times New Roman" w:cs="Times New Roman"/>
          <w:sz w:val="28"/>
          <w:szCs w:val="28"/>
        </w:rPr>
      </w:pPr>
    </w:p>
    <w:p w:rsidR="00250F37" w:rsidRDefault="00250F37">
      <w:pPr>
        <w:rPr>
          <w:rFonts w:ascii="Times New Roman" w:hAnsi="Times New Roman" w:cs="Times New Roman"/>
          <w:sz w:val="28"/>
          <w:szCs w:val="28"/>
        </w:rPr>
      </w:pPr>
    </w:p>
    <w:p w:rsidR="00250F37" w:rsidRDefault="00250F37">
      <w:pPr>
        <w:rPr>
          <w:rFonts w:ascii="Times New Roman" w:hAnsi="Times New Roman" w:cs="Times New Roman"/>
          <w:sz w:val="28"/>
          <w:szCs w:val="28"/>
        </w:rPr>
      </w:pPr>
    </w:p>
    <w:p w:rsidR="00250F37" w:rsidRDefault="00250F37">
      <w:pPr>
        <w:rPr>
          <w:rFonts w:ascii="Times New Roman" w:hAnsi="Times New Roman" w:cs="Times New Roman"/>
          <w:sz w:val="28"/>
          <w:szCs w:val="28"/>
        </w:rPr>
      </w:pPr>
    </w:p>
    <w:p w:rsidR="00250F37" w:rsidRDefault="00250F37">
      <w:pPr>
        <w:rPr>
          <w:rFonts w:ascii="Times New Roman" w:hAnsi="Times New Roman" w:cs="Times New Roman"/>
          <w:sz w:val="28"/>
          <w:szCs w:val="28"/>
        </w:rPr>
      </w:pPr>
    </w:p>
    <w:p w:rsidR="00250F37" w:rsidRDefault="00250F37">
      <w:pPr>
        <w:rPr>
          <w:rFonts w:ascii="Times New Roman" w:hAnsi="Times New Roman" w:cs="Times New Roman"/>
          <w:sz w:val="28"/>
          <w:szCs w:val="28"/>
        </w:rPr>
      </w:pPr>
    </w:p>
    <w:p w:rsidR="00250F37" w:rsidRDefault="00250F37">
      <w:pPr>
        <w:rPr>
          <w:rFonts w:ascii="Times New Roman" w:hAnsi="Times New Roman" w:cs="Times New Roman"/>
          <w:sz w:val="28"/>
          <w:szCs w:val="28"/>
        </w:rPr>
      </w:pPr>
    </w:p>
    <w:p w:rsidR="00250F37" w:rsidRDefault="00250F37">
      <w:pPr>
        <w:rPr>
          <w:rFonts w:ascii="Times New Roman" w:hAnsi="Times New Roman" w:cs="Times New Roman"/>
          <w:sz w:val="28"/>
          <w:szCs w:val="28"/>
        </w:rPr>
      </w:pPr>
    </w:p>
    <w:p w:rsidR="00250F37" w:rsidRPr="00E0621F" w:rsidRDefault="00250F37">
      <w:pP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471423"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lastRenderedPageBreak/>
        <w:t xml:space="preserve">В </w:t>
      </w:r>
      <w:r w:rsidRPr="00471423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 xml:space="preserve">качестве примера использования  метода </w:t>
      </w:r>
      <w:r w:rsidRPr="00471423">
        <w:rPr>
          <w:rFonts w:ascii="Times New Roman" w:hAnsi="Times New Roman" w:cs="Times New Roman"/>
          <w:b/>
          <w:i/>
          <w:color w:val="C00000"/>
          <w:sz w:val="44"/>
          <w:szCs w:val="44"/>
        </w:rPr>
        <w:t>воображаемой ситуации</w:t>
      </w:r>
      <w:r w:rsidRPr="00471423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Pr="00471423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 xml:space="preserve">может служить сюжетно-игровой комплекс, являющийся игровой формой организации образовательного процесса в дошкольном учреждении. 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353B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460"/>
        <w:gridCol w:w="5925"/>
      </w:tblGrid>
      <w:tr w:rsidR="00250F37" w:rsidRPr="00471423" w:rsidTr="003F5DB5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сюжет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сюжет позволяет «перенестись» в условное игровое пространство, со свойственной ему воображаемой ситуацией («как будто»)</w:t>
            </w:r>
          </w:p>
        </w:tc>
      </w:tr>
      <w:tr w:rsidR="00250F37" w:rsidRPr="00471423" w:rsidTr="003F5DB5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образ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образ способствует перевоплощению, активному творческому самовыражению, восприятию игровой ситуации как собственной</w:t>
            </w:r>
          </w:p>
        </w:tc>
      </w:tr>
      <w:tr w:rsidR="00250F37" w:rsidRPr="00471423" w:rsidTr="003F5DB5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проблемная эмоционально–образная ситуация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основу игровой проблемной эмоционально-образной ситуации закладывается мотив чувства сопереживания игровым образам</w:t>
            </w:r>
          </w:p>
        </w:tc>
      </w:tr>
      <w:tr w:rsidR="00250F37" w:rsidRPr="00471423" w:rsidTr="003F5DB5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или дидактические задания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разрабатываются с целью реализации игровых действий в разных видах деятельности: речевой, музыкальной, изобразительной, учебной и др. Задания направлены на решение образовательных задач</w:t>
            </w:r>
          </w:p>
        </w:tc>
      </w:tr>
      <w:tr w:rsidR="00250F37" w:rsidRPr="00471423" w:rsidTr="003F5DB5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действия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действия связаны с проявлением активности ребёнка. Они состоят из отдельных элементов, которые выполняет ребёнок</w:t>
            </w:r>
          </w:p>
        </w:tc>
      </w:tr>
      <w:tr w:rsidR="00250F37" w:rsidRPr="00471423" w:rsidTr="003F5DB5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правила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правила обеспечивают реализацию игрового содержания, направляют поведение и деятельность детей, определяют характер и условия игровых действий</w:t>
            </w:r>
          </w:p>
        </w:tc>
      </w:tr>
      <w:tr w:rsidR="00250F37" w:rsidRPr="00471423" w:rsidTr="003F5DB5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результат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результат ориентирует ребёнка на качество создаваемого творческого продукта</w:t>
            </w:r>
          </w:p>
        </w:tc>
      </w:tr>
      <w:tr w:rsidR="00250F37" w:rsidRPr="00471423" w:rsidTr="003F5DB5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оснащение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F37" w:rsidRPr="00471423" w:rsidRDefault="00250F37" w:rsidP="003F5D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качестве игрового оснащения в комплексах используются предметы, игрушки, схемы, модели, карточки с заданиями, картинки, иллюстрации, индивидуальные тетради для дошкольников и др.</w:t>
            </w:r>
          </w:p>
        </w:tc>
      </w:tr>
    </w:tbl>
    <w:p w:rsidR="00250F37" w:rsidRPr="00471423" w:rsidRDefault="00250F37">
      <w:pPr>
        <w:rPr>
          <w:rFonts w:ascii="Times New Roman" w:hAnsi="Times New Roman" w:cs="Times New Roman"/>
          <w:sz w:val="28"/>
          <w:szCs w:val="28"/>
        </w:rPr>
      </w:pPr>
    </w:p>
    <w:sectPr w:rsidR="00250F37" w:rsidRPr="0047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A51"/>
    <w:multiLevelType w:val="multilevel"/>
    <w:tmpl w:val="EB16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31935"/>
    <w:multiLevelType w:val="multilevel"/>
    <w:tmpl w:val="8310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49"/>
    <w:rsid w:val="00096ADF"/>
    <w:rsid w:val="00102932"/>
    <w:rsid w:val="00250F37"/>
    <w:rsid w:val="00471423"/>
    <w:rsid w:val="006755AE"/>
    <w:rsid w:val="00696461"/>
    <w:rsid w:val="007E3749"/>
    <w:rsid w:val="0081162D"/>
    <w:rsid w:val="00816BB9"/>
    <w:rsid w:val="00876F56"/>
    <w:rsid w:val="00996BFF"/>
    <w:rsid w:val="009A5C76"/>
    <w:rsid w:val="00B91604"/>
    <w:rsid w:val="00C059E0"/>
    <w:rsid w:val="00E0621F"/>
    <w:rsid w:val="00E638CE"/>
    <w:rsid w:val="00EB31A2"/>
    <w:rsid w:val="00E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cp:lastPrinted>2015-01-21T03:50:00Z</cp:lastPrinted>
  <dcterms:created xsi:type="dcterms:W3CDTF">2015-11-03T02:36:00Z</dcterms:created>
  <dcterms:modified xsi:type="dcterms:W3CDTF">2015-11-03T02:36:00Z</dcterms:modified>
</cp:coreProperties>
</file>